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72" w:rsidRPr="0031603E" w:rsidRDefault="0031603E" w:rsidP="0031603E">
      <w:pPr>
        <w:spacing w:after="0" w:line="240" w:lineRule="auto"/>
        <w:rPr>
          <w:b/>
          <w:bCs/>
          <w:sz w:val="24"/>
          <w:szCs w:val="24"/>
        </w:rPr>
      </w:pPr>
      <w:r w:rsidRPr="0031603E">
        <w:rPr>
          <w:b/>
          <w:bCs/>
          <w:sz w:val="24"/>
          <w:szCs w:val="24"/>
        </w:rPr>
        <w:t>BSPS 2015 Annual Conference</w:t>
      </w:r>
    </w:p>
    <w:p w:rsidR="0031603E" w:rsidRDefault="0031603E" w:rsidP="0031603E">
      <w:pPr>
        <w:spacing w:after="0" w:line="240" w:lineRule="auto"/>
      </w:pPr>
    </w:p>
    <w:p w:rsidR="0031603E" w:rsidRPr="0031603E" w:rsidRDefault="0031603E" w:rsidP="0031603E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</w:rPr>
      </w:pPr>
      <w:r w:rsidRPr="0031603E">
        <w:rPr>
          <w:rFonts w:cs="Verdana"/>
          <w:b/>
          <w:bCs/>
          <w:sz w:val="24"/>
          <w:szCs w:val="24"/>
        </w:rPr>
        <w:t>“</w:t>
      </w:r>
      <w:r w:rsidRPr="0031603E">
        <w:rPr>
          <w:rFonts w:cs="Verdana"/>
          <w:b/>
          <w:bCs/>
          <w:sz w:val="24"/>
          <w:szCs w:val="24"/>
        </w:rPr>
        <w:t>Health outcomes for informal carers in England and Wales – A longitudinal study using nationally</w:t>
      </w:r>
      <w:r>
        <w:rPr>
          <w:rFonts w:cs="Verdana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1603E">
        <w:rPr>
          <w:rFonts w:cs="Verdana"/>
          <w:b/>
          <w:bCs/>
          <w:sz w:val="24"/>
          <w:szCs w:val="24"/>
        </w:rPr>
        <w:t>representative census data for England and Wales</w:t>
      </w:r>
      <w:r w:rsidRPr="0031603E">
        <w:rPr>
          <w:rFonts w:cs="Verdana"/>
          <w:b/>
          <w:bCs/>
          <w:sz w:val="24"/>
          <w:szCs w:val="24"/>
        </w:rPr>
        <w:t>”</w:t>
      </w:r>
    </w:p>
    <w:p w:rsidR="0031603E" w:rsidRPr="0031603E" w:rsidRDefault="0031603E" w:rsidP="0031603E">
      <w:pPr>
        <w:spacing w:after="0" w:line="240" w:lineRule="auto"/>
        <w:rPr>
          <w:lang w:val="pt-PT"/>
        </w:rPr>
      </w:pPr>
      <w:proofErr w:type="spellStart"/>
      <w:r w:rsidRPr="0031603E">
        <w:rPr>
          <w:rFonts w:cs="Verdana"/>
          <w:lang w:val="pt-PT"/>
        </w:rPr>
        <w:t>Athina</w:t>
      </w:r>
      <w:proofErr w:type="spellEnd"/>
      <w:r w:rsidRPr="0031603E">
        <w:rPr>
          <w:rFonts w:cs="Verdana"/>
          <w:lang w:val="pt-PT"/>
        </w:rPr>
        <w:t xml:space="preserve"> </w:t>
      </w:r>
      <w:proofErr w:type="spellStart"/>
      <w:r w:rsidRPr="0031603E">
        <w:rPr>
          <w:rFonts w:cs="Verdana"/>
          <w:lang w:val="pt-PT"/>
        </w:rPr>
        <w:t>Vlachanton</w:t>
      </w:r>
      <w:proofErr w:type="spellEnd"/>
      <w:r w:rsidRPr="0031603E">
        <w:rPr>
          <w:rFonts w:cs="Verdana"/>
          <w:lang w:val="pt-PT"/>
        </w:rPr>
        <w:t xml:space="preserve">, </w:t>
      </w:r>
      <w:r w:rsidRPr="0031603E">
        <w:rPr>
          <w:rFonts w:cs="Verdana"/>
          <w:lang w:val="pt-PT"/>
        </w:rPr>
        <w:t>James Robards</w:t>
      </w:r>
      <w:r w:rsidRPr="0031603E">
        <w:rPr>
          <w:rFonts w:cs="Verdana"/>
          <w:lang w:val="pt-PT"/>
        </w:rPr>
        <w:t xml:space="preserve">, </w:t>
      </w:r>
      <w:r w:rsidRPr="0031603E">
        <w:rPr>
          <w:rFonts w:cs="Verdana"/>
          <w:lang w:val="pt-PT"/>
        </w:rPr>
        <w:t xml:space="preserve">Maria Evandrou </w:t>
      </w:r>
      <w:r w:rsidRPr="0031603E">
        <w:rPr>
          <w:rFonts w:cs="Verdana"/>
          <w:lang w:val="pt-PT"/>
        </w:rPr>
        <w:t>and</w:t>
      </w:r>
      <w:r w:rsidRPr="0031603E">
        <w:rPr>
          <w:rFonts w:cs="Verdana"/>
          <w:lang w:val="pt-PT"/>
        </w:rPr>
        <w:t xml:space="preserve"> Jane Falkingham</w:t>
      </w:r>
    </w:p>
    <w:p w:rsidR="0031603E" w:rsidRPr="0031603E" w:rsidRDefault="0031603E" w:rsidP="0031603E">
      <w:pPr>
        <w:spacing w:after="0" w:line="240" w:lineRule="auto"/>
        <w:rPr>
          <w:lang w:val="pt-PT"/>
        </w:rPr>
      </w:pPr>
    </w:p>
    <w:p w:rsidR="0031603E" w:rsidRPr="0031603E" w:rsidRDefault="0031603E" w:rsidP="0031603E">
      <w:pPr>
        <w:spacing w:after="0" w:line="240" w:lineRule="auto"/>
        <w:rPr>
          <w:b/>
          <w:bCs/>
        </w:rPr>
      </w:pPr>
      <w:r w:rsidRPr="0031603E">
        <w:rPr>
          <w:b/>
          <w:bCs/>
        </w:rPr>
        <w:t>Abstract</w:t>
      </w:r>
    </w:p>
    <w:p w:rsidR="0031603E" w:rsidRPr="0031603E" w:rsidRDefault="0031603E" w:rsidP="0031603E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31603E">
        <w:rPr>
          <w:rFonts w:cs="Verdana"/>
        </w:rPr>
        <w:t>Cross-sectional analyses of 2001 and 2011 Census data suggest an association between worse</w:t>
      </w:r>
    </w:p>
    <w:p w:rsidR="0031603E" w:rsidRPr="0031603E" w:rsidRDefault="0031603E" w:rsidP="0031603E">
      <w:pPr>
        <w:autoSpaceDE w:val="0"/>
        <w:autoSpaceDN w:val="0"/>
        <w:adjustRightInd w:val="0"/>
        <w:spacing w:after="0" w:line="240" w:lineRule="auto"/>
      </w:pPr>
      <w:proofErr w:type="gramStart"/>
      <w:r w:rsidRPr="0031603E">
        <w:rPr>
          <w:rFonts w:cs="Verdana"/>
        </w:rPr>
        <w:t>self-reported</w:t>
      </w:r>
      <w:proofErr w:type="gramEnd"/>
      <w:r w:rsidRPr="0031603E">
        <w:rPr>
          <w:rFonts w:cs="Verdana"/>
        </w:rPr>
        <w:t xml:space="preserve"> health and increasing hours of informal (unpaid) care. Research on health among informal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carers has identified caring and health interactions as often being more positive than portrayed leading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to arguments that studies require a more nuanced approach. The current study asks ‘how does poorer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self-rated health at the 2011 Census relate to carer roles past (2001), present (2011) and transitions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between 2001 and 2011?’ Using Office for National Statistics Longitudinal Study members at 2001 and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2011 we identify transitions in caring roles (2001-2011) and use baseline health status (2001) as a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control. A binary logistic regression model is specified where the outcome measure is bad or very bad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health at the 2011 Census. Results show (1) those providing informal care at 2011 exhibit lower odds of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poor health than those who did not provide care in both 2001 and 2011 and (2) light informal carers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(1-19 hours of care per week) at 2001 no longer caring at 2011 show no difference in odds of reporting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poor health compared to non-carers (2001 and 2011). Results for heavy informal carers (20+ hours of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care per week) show (1) heavy informal carers at 2001 not caring at 2011 show higher odds of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reporting poor health compared to non-carers (2001 and 2011) and (2) heavy carers at 2001 and 2011</w:t>
      </w:r>
      <w:r w:rsidRPr="0031603E">
        <w:rPr>
          <w:rFonts w:cs="Verdana"/>
        </w:rPr>
        <w:t xml:space="preserve"> </w:t>
      </w:r>
      <w:r w:rsidRPr="0031603E">
        <w:rPr>
          <w:rFonts w:cs="Verdana"/>
        </w:rPr>
        <w:t>are less likely to report poor health at 2011 compared to non-carers (2001 and 2011).</w:t>
      </w:r>
    </w:p>
    <w:p w:rsidR="0031603E" w:rsidRPr="0031603E" w:rsidRDefault="0031603E"/>
    <w:sectPr w:rsidR="0031603E" w:rsidRPr="0031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E"/>
    <w:rsid w:val="0031603E"/>
    <w:rsid w:val="00B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Y.</dc:creator>
  <cp:lastModifiedBy>Richardson Y.</cp:lastModifiedBy>
  <cp:revision>1</cp:revision>
  <dcterms:created xsi:type="dcterms:W3CDTF">2015-06-18T12:54:00Z</dcterms:created>
  <dcterms:modified xsi:type="dcterms:W3CDTF">2015-06-18T13:00:00Z</dcterms:modified>
</cp:coreProperties>
</file>